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FC0" w:rsidRPr="00571FC0" w:rsidRDefault="00571FC0" w:rsidP="00571F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71FC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Меры поддержки предпринимателей в 2024 году </w:t>
      </w:r>
      <w:r w:rsidRPr="00571F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2F7228D" wp14:editId="19990F14">
                <wp:extent cx="304800" cy="304800"/>
                <wp:effectExtent l="0" t="0" r="0" b="0"/>
                <wp:docPr id="1" name="AutoShape 1" descr="Производитель керамической посуд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4C1FD7" id="AutoShape 1" o:spid="_x0000_s1026" alt="Производитель керамической посуды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H4utVoCAwAAAAYAAA4AAAAAAAAAAAAAAAAALgIAAGRycy9lMm9Eb2MueG1sUEsBAi0AFAAG&#10;AAgAAAAhAEyg6SzYAAAAAwEAAA8AAAAAAAAAAAAAAAAAX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</w:p>
    <w:p w:rsid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2024 году малые и средние предприниматели (МСП) могут получить льготные кредиты, субсидии, гранты и налоговые льготы от государства ― всего федеральных и региональных мер поддержки более 700. </w:t>
      </w:r>
    </w:p>
    <w:p w:rsidR="00571FC0" w:rsidRPr="00571FC0" w:rsidRDefault="00571FC0" w:rsidP="00571F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71F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Льготные кредиты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В 2024 году банки продолжают выдавать льготные кредиты для поддержки МСП по </w:t>
      </w:r>
      <w:hyperlink r:id="rId5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программам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«1764», ПСК и ПСК + «1764».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Кредиты на специальных условиях могут взять </w:t>
      </w:r>
      <w:proofErr w:type="spellStart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юрлица</w:t>
      </w:r>
      <w:proofErr w:type="spellEnd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ИП, в некоторых случаях и </w:t>
      </w:r>
      <w:proofErr w:type="spellStart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самозанятые</w:t>
      </w:r>
      <w:proofErr w:type="spellEnd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не во всех сферах деятельности: поддержку не смогут получить страховые и кредитные организации (кроме </w:t>
      </w:r>
      <w:proofErr w:type="spellStart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микрофинансовых</w:t>
      </w:r>
      <w:proofErr w:type="spellEnd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(МФО), которые выдают </w:t>
      </w:r>
      <w:proofErr w:type="spellStart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микрокредиты</w:t>
      </w:r>
      <w:proofErr w:type="spellEnd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МСП), инвестиционные фонды, игорный бизнес, ломбарды, а также бизнес, связанный с добычей и продажей полезных ископаемых или производством подакцизной продукции.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71F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Программа «1764»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Получила название по номеру </w:t>
      </w:r>
      <w:hyperlink r:id="rId6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№ 1764 о субсидировании кредитов для МСП.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могут участвовать средние, малые и </w:t>
      </w:r>
      <w:proofErr w:type="spellStart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микропредприятия</w:t>
      </w:r>
      <w:proofErr w:type="spellEnd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самозанятые</w:t>
      </w:r>
      <w:proofErr w:type="spellEnd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работают в сферах торговли и бытовых услуг, ресторанном бизнесе, сельском хозяйстве, обрабатывающей промышленности, внутреннем туризме. Также принимаются заявки от МСП из области здравоохранения, образования, научных и технических разработок.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то что в декабре 2023 года ключевая ставка поднялась до 16%, малые предприятия всё ещё </w:t>
      </w:r>
      <w:hyperlink r:id="rId7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могут получить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кредиты под 15% годовых, средний бизнес ― по ставке 13,5%.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2"/>
        <w:gridCol w:w="3334"/>
        <w:gridCol w:w="1312"/>
        <w:gridCol w:w="1270"/>
      </w:tblGrid>
      <w:tr w:rsidR="00571FC0" w:rsidRPr="00571FC0" w:rsidTr="00571FC0">
        <w:trPr>
          <w:tblHeader/>
          <w:tblCellSpacing w:w="15" w:type="dxa"/>
        </w:trPr>
        <w:tc>
          <w:tcPr>
            <w:tcW w:w="4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 предприятия</w:t>
            </w:r>
          </w:p>
        </w:tc>
        <w:tc>
          <w:tcPr>
            <w:tcW w:w="4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Сумма, ₽</w:t>
            </w:r>
          </w:p>
        </w:tc>
        <w:tc>
          <w:tcPr>
            <w:tcW w:w="1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Ставка</w:t>
            </w:r>
          </w:p>
        </w:tc>
        <w:tc>
          <w:tcPr>
            <w:tcW w:w="1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Срок, лет</w:t>
            </w:r>
          </w:p>
        </w:tc>
      </w:tr>
      <w:tr w:rsidR="00571FC0" w:rsidRPr="00571FC0" w:rsidTr="00571FC0">
        <w:trPr>
          <w:tblCellSpacing w:w="15" w:type="dxa"/>
        </w:trPr>
        <w:tc>
          <w:tcPr>
            <w:tcW w:w="4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Средние предприятия</w:t>
            </w:r>
          </w:p>
        </w:tc>
        <w:tc>
          <w:tcPr>
            <w:tcW w:w="4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500 000 до 2 млрд </w:t>
            </w:r>
          </w:p>
        </w:tc>
        <w:tc>
          <w:tcPr>
            <w:tcW w:w="1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13,5% </w:t>
            </w:r>
          </w:p>
        </w:tc>
        <w:tc>
          <w:tcPr>
            <w:tcW w:w="1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571FC0" w:rsidRPr="00571FC0" w:rsidTr="00571FC0">
        <w:trPr>
          <w:tblCellSpacing w:w="15" w:type="dxa"/>
        </w:trPr>
        <w:tc>
          <w:tcPr>
            <w:tcW w:w="4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Малые и </w:t>
            </w:r>
            <w:proofErr w:type="spellStart"/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микропредприятия</w:t>
            </w:r>
            <w:proofErr w:type="spellEnd"/>
          </w:p>
        </w:tc>
        <w:tc>
          <w:tcPr>
            <w:tcW w:w="4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500 000 до 500 млн</w:t>
            </w:r>
          </w:p>
        </w:tc>
        <w:tc>
          <w:tcPr>
            <w:tcW w:w="1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 </w:t>
            </w:r>
          </w:p>
        </w:tc>
        <w:tc>
          <w:tcPr>
            <w:tcW w:w="1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</w:t>
            </w:r>
          </w:p>
        </w:tc>
      </w:tr>
      <w:tr w:rsidR="00571FC0" w:rsidRPr="00571FC0" w:rsidTr="00571FC0">
        <w:trPr>
          <w:tblCellSpacing w:w="15" w:type="dxa"/>
        </w:trPr>
        <w:tc>
          <w:tcPr>
            <w:tcW w:w="4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Самозанятые</w:t>
            </w:r>
            <w:proofErr w:type="spellEnd"/>
          </w:p>
        </w:tc>
        <w:tc>
          <w:tcPr>
            <w:tcW w:w="4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500 000 до 10 млн</w:t>
            </w:r>
          </w:p>
        </w:tc>
        <w:tc>
          <w:tcPr>
            <w:tcW w:w="1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15,75%</w:t>
            </w:r>
          </w:p>
        </w:tc>
        <w:tc>
          <w:tcPr>
            <w:tcW w:w="1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</w:t>
            </w:r>
          </w:p>
        </w:tc>
      </w:tr>
    </w:tbl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Отправить заявку на льготное кредитование бизнеса можно на сайте </w:t>
      </w:r>
      <w:hyperlink r:id="rId8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федеральной корпорации МСП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напрямую в </w:t>
      </w:r>
      <w:hyperlink r:id="rId9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банках — участниках программы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71F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ПСК, или Программа стимулирования кредитования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Распространяется на бизнес, задействованный в обрабатывающем производстве, транспортировке и хранении, гостиничном бизнесе, архитектуре и научных исследованиях. Полный список отраслей можно найти в приложении к </w:t>
      </w:r>
      <w:hyperlink r:id="rId10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описанию программы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Максимальная ставка для средних предпринимателей, лизинговых компаний и МФО не может превышать ключевую ставку + 3 процентных пункта, для малых предпринимателей — ключевую ставку </w:t>
      </w: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+ 4 процентных пункта, для </w:t>
      </w:r>
      <w:proofErr w:type="spellStart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микропредприятий</w:t>
      </w:r>
      <w:proofErr w:type="spellEnd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самозанятых</w:t>
      </w:r>
      <w:proofErr w:type="spellEnd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ключевую ставку + 4,5 процентного пункта. На январь 2024 года общие условия выглядят так: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5"/>
        <w:gridCol w:w="3325"/>
        <w:gridCol w:w="1310"/>
        <w:gridCol w:w="1268"/>
      </w:tblGrid>
      <w:tr w:rsidR="00571FC0" w:rsidRPr="00571FC0" w:rsidTr="00571FC0">
        <w:trPr>
          <w:tblHeader/>
          <w:tblCellSpacing w:w="15" w:type="dxa"/>
        </w:trPr>
        <w:tc>
          <w:tcPr>
            <w:tcW w:w="4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 предприятия</w:t>
            </w:r>
          </w:p>
        </w:tc>
        <w:tc>
          <w:tcPr>
            <w:tcW w:w="4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Сумма, ₽</w:t>
            </w:r>
          </w:p>
        </w:tc>
        <w:tc>
          <w:tcPr>
            <w:tcW w:w="1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Ставка</w:t>
            </w:r>
          </w:p>
        </w:tc>
        <w:tc>
          <w:tcPr>
            <w:tcW w:w="1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Срок, лет</w:t>
            </w:r>
          </w:p>
        </w:tc>
      </w:tr>
      <w:tr w:rsidR="00571FC0" w:rsidRPr="00571FC0" w:rsidTr="00571FC0">
        <w:trPr>
          <w:tblCellSpacing w:w="15" w:type="dxa"/>
        </w:trPr>
        <w:tc>
          <w:tcPr>
            <w:tcW w:w="4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Средние предприятия</w:t>
            </w:r>
          </w:p>
        </w:tc>
        <w:tc>
          <w:tcPr>
            <w:tcW w:w="4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 млрд </w:t>
            </w:r>
          </w:p>
        </w:tc>
        <w:tc>
          <w:tcPr>
            <w:tcW w:w="1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18%</w:t>
            </w:r>
          </w:p>
        </w:tc>
        <w:tc>
          <w:tcPr>
            <w:tcW w:w="1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</w:t>
            </w:r>
          </w:p>
        </w:tc>
      </w:tr>
      <w:tr w:rsidR="00571FC0" w:rsidRPr="00571FC0" w:rsidTr="00571FC0">
        <w:trPr>
          <w:tblCellSpacing w:w="15" w:type="dxa"/>
        </w:trPr>
        <w:tc>
          <w:tcPr>
            <w:tcW w:w="4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 </w:t>
            </w:r>
          </w:p>
        </w:tc>
        <w:tc>
          <w:tcPr>
            <w:tcW w:w="4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 млрд </w:t>
            </w:r>
          </w:p>
        </w:tc>
        <w:tc>
          <w:tcPr>
            <w:tcW w:w="1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19%</w:t>
            </w:r>
          </w:p>
        </w:tc>
        <w:tc>
          <w:tcPr>
            <w:tcW w:w="1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</w:t>
            </w:r>
          </w:p>
        </w:tc>
      </w:tr>
      <w:tr w:rsidR="00571FC0" w:rsidRPr="00571FC0" w:rsidTr="00571FC0">
        <w:trPr>
          <w:tblCellSpacing w:w="15" w:type="dxa"/>
        </w:trPr>
        <w:tc>
          <w:tcPr>
            <w:tcW w:w="4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Микропредприятия</w:t>
            </w:r>
            <w:proofErr w:type="spellEnd"/>
          </w:p>
        </w:tc>
        <w:tc>
          <w:tcPr>
            <w:tcW w:w="4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 млрд </w:t>
            </w:r>
          </w:p>
        </w:tc>
        <w:tc>
          <w:tcPr>
            <w:tcW w:w="1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19,5%</w:t>
            </w:r>
          </w:p>
        </w:tc>
        <w:tc>
          <w:tcPr>
            <w:tcW w:w="1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</w:t>
            </w:r>
          </w:p>
        </w:tc>
      </w:tr>
    </w:tbl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прописана только максимально возможная сумма кредитов по ПСК, а реальный размер займа определяет конкретный банк. 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получением кредита можно обратиться в </w:t>
      </w:r>
      <w:hyperlink r:id="rId11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МСП Банк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один из </w:t>
      </w:r>
      <w:hyperlink r:id="rId12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уполномоченных банков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71F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ПСК + «1764»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Совмещённая </w:t>
      </w:r>
      <w:hyperlink r:id="rId13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программа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льготного кредитования для приоритетных отраслей. Она распространяется на предприятия МСП в сферах обрабатывающего производства и переработки сельхозпродукции, гостиничный и логистический бизнес в дальневосточных и кавказских регионах, Крыму и Севастополе. Также помощь от государства могут получить предприниматели, которые работают в научной, профессиональной и IT-сферах. Есть возможность потратить средства на инвестиции в бизнес и проектное финансирование.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рост ключевой ставки в 2023 году, </w:t>
      </w:r>
      <w:hyperlink r:id="rId14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условия кредитования с господдержкой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этой программе остались прежними: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5"/>
        <w:gridCol w:w="3635"/>
        <w:gridCol w:w="1292"/>
        <w:gridCol w:w="1246"/>
      </w:tblGrid>
      <w:tr w:rsidR="00571FC0" w:rsidRPr="00571FC0" w:rsidTr="00571FC0">
        <w:trPr>
          <w:tblHeader/>
          <w:tblCellSpacing w:w="15" w:type="dxa"/>
        </w:trPr>
        <w:tc>
          <w:tcPr>
            <w:tcW w:w="4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 предприятия</w:t>
            </w:r>
          </w:p>
        </w:tc>
        <w:tc>
          <w:tcPr>
            <w:tcW w:w="4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Сумма, ₽</w:t>
            </w:r>
          </w:p>
        </w:tc>
        <w:tc>
          <w:tcPr>
            <w:tcW w:w="1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Ставка</w:t>
            </w:r>
          </w:p>
        </w:tc>
        <w:tc>
          <w:tcPr>
            <w:tcW w:w="1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Срок, лет</w:t>
            </w:r>
          </w:p>
        </w:tc>
      </w:tr>
      <w:tr w:rsidR="00571FC0" w:rsidRPr="00571FC0" w:rsidTr="00571FC0">
        <w:trPr>
          <w:tblCellSpacing w:w="15" w:type="dxa"/>
        </w:trPr>
        <w:tc>
          <w:tcPr>
            <w:tcW w:w="4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Средние предприятия</w:t>
            </w:r>
          </w:p>
        </w:tc>
        <w:tc>
          <w:tcPr>
            <w:tcW w:w="4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 млрд </w:t>
            </w:r>
          </w:p>
        </w:tc>
        <w:tc>
          <w:tcPr>
            <w:tcW w:w="1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7,5%</w:t>
            </w:r>
          </w:p>
        </w:tc>
        <w:tc>
          <w:tcPr>
            <w:tcW w:w="1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</w:t>
            </w:r>
          </w:p>
        </w:tc>
      </w:tr>
      <w:tr w:rsidR="00571FC0" w:rsidRPr="00571FC0" w:rsidTr="00571FC0">
        <w:trPr>
          <w:tblCellSpacing w:w="15" w:type="dxa"/>
        </w:trPr>
        <w:tc>
          <w:tcPr>
            <w:tcW w:w="4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Малый и </w:t>
            </w:r>
            <w:proofErr w:type="spellStart"/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микробизнес</w:t>
            </w:r>
            <w:proofErr w:type="spellEnd"/>
          </w:p>
        </w:tc>
        <w:tc>
          <w:tcPr>
            <w:tcW w:w="4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микропредприятия</w:t>
            </w:r>
            <w:proofErr w:type="spellEnd"/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до 200 </w:t>
            </w:r>
            <w:proofErr w:type="gramStart"/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млн;</w:t>
            </w: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малый</w:t>
            </w:r>
            <w:proofErr w:type="gramEnd"/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бизнес — до 500 млн </w:t>
            </w:r>
          </w:p>
        </w:tc>
        <w:tc>
          <w:tcPr>
            <w:tcW w:w="1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9%</w:t>
            </w:r>
          </w:p>
        </w:tc>
        <w:tc>
          <w:tcPr>
            <w:tcW w:w="1500" w:type="dxa"/>
            <w:vAlign w:val="center"/>
            <w:hideMark/>
          </w:tcPr>
          <w:p w:rsidR="00571FC0" w:rsidRPr="00571FC0" w:rsidRDefault="00571FC0" w:rsidP="0057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</w:t>
            </w:r>
          </w:p>
        </w:tc>
      </w:tr>
    </w:tbl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Подать заявку можно в </w:t>
      </w:r>
      <w:hyperlink r:id="rId15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МСП Банке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 </w:t>
      </w:r>
      <w:hyperlink r:id="rId16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участвующих в программе банках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71F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Другие кредиты с господдержкой: </w:t>
      </w:r>
    </w:p>
    <w:p w:rsidR="00571FC0" w:rsidRPr="00571FC0" w:rsidRDefault="00571FC0" w:rsidP="00571F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2017 года работает </w:t>
      </w:r>
      <w:hyperlink r:id="rId17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льготное кредитование сельхозпроизводителей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1FC0" w:rsidRPr="00571FC0" w:rsidRDefault="00571FC0" w:rsidP="00571F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марта 2022 года действует г</w:t>
      </w:r>
      <w:hyperlink r:id="rId18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оспрограмма льготного кредитования МСП в сфере промышленности, науки и информационных технологий во всех регионах России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1FC0" w:rsidRPr="00571FC0" w:rsidRDefault="00571FC0" w:rsidP="00571F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С августа 2023 года действует программа </w:t>
      </w:r>
      <w:hyperlink r:id="rId19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«Москва массовая»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рассчитанная на поддержку предпринимателей Москвы.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Взять кредит в рамках госпрограммы может любая компания, которая состоит в </w:t>
      </w:r>
      <w:hyperlink r:id="rId20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Едином реестре субъектов МСП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существует на момент подачи заявки не менее года и имеет положительную кредитную историю. Страхования и залога не требуется.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71F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Гранты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Гранты, в отличие от кредитов, выдают навсегда и без процентов. Но предлагают их не всем: необходимо не только соответствовать условиям, но и пройти конкурсный отбор.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2024 году грант на создание и развитие бизнеса могут получить </w:t>
      </w:r>
      <w:hyperlink r:id="rId21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молодые предприниматели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: ИП и компании с учредителями в возрасте от 14 до 25 лет. Минимальная сумма ― 100 </w:t>
      </w:r>
      <w:proofErr w:type="gramStart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000 ₽,</w:t>
      </w:r>
      <w:proofErr w:type="gramEnd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максимальная может достигать 1 млн ₽, если предприятие работает в Арктической зоне. Одно из важных условий: не менее 25% от всей суммы, которая требуется на проект, должно быть у самого предпринимателя. В Москве программа не действует.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малый бизнес уже занимается производством и продажами наукоёмкой продукции, то предприятие может претендовать на грант </w:t>
      </w:r>
      <w:hyperlink r:id="rId22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«Развитие»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Его выдают на научную деятельность и производство в импортозамещающих отраслях. Размер гранта — от 15 млн до 30 </w:t>
      </w:r>
      <w:proofErr w:type="gramStart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 ₽,</w:t>
      </w:r>
      <w:proofErr w:type="gramEnd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покрывает до 70% от стоимости проекта. 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Студенты вузов могут подать заявку на грант до 1 </w:t>
      </w:r>
      <w:proofErr w:type="gramStart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 ₽ по</w:t>
      </w:r>
      <w:proofErr w:type="gramEnd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 </w:t>
      </w:r>
      <w:hyperlink r:id="rId23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«Студенческий </w:t>
        </w:r>
        <w:proofErr w:type="spellStart"/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стартап</w:t>
        </w:r>
        <w:proofErr w:type="spellEnd"/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Приоритетный список отраслей — цифровые и химические технологии, биотехнологии, медицина, энергетика. За год необходимо пройти путь от собственных научных исследований до создания бизнеса.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Каждому, кто получил грант, нужно выполнить условия, на которых выдали деньги, — например, отчитаться о сроках и результатах. Иначе грант придётся вернуть.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71F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Гарантийное обеспечение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Ещё один способ помощи малому бизнесу от государства ― поручительство при кредитовании. Оно помогает получить заём на более выгодных условиях. Предприниматели могут подать заявку </w:t>
      </w:r>
      <w:hyperlink r:id="rId24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 сайте МСП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пройти проверку и получить поручительство, которое обеспечит до 70% от кредита. За это придётся заплатить от 0,5 до 1,5% годовых от суммы поручительства.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 вариант ― «зонтичное» поручительство через </w:t>
      </w:r>
      <w:hyperlink r:id="rId25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Центр поддержки инвестиционного кредитования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может покрывать до 50% кредита. Такое поручительство бесплатно для бизнеса. При необходимости эти меры поддержки можно объединять.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71F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Субсидии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 — финансовая поддержка, которую государство даёт на определённые цели. Возвращать эти деньги не нужно, но необходимо подтвердить, что их потратили так, как планировалось.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малоимущие могут получить субсидии до 350 </w:t>
      </w:r>
      <w:proofErr w:type="gramStart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000 ₽,</w:t>
      </w:r>
      <w:proofErr w:type="gramEnd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открыть собственный бизнес в рамках </w:t>
      </w:r>
      <w:hyperlink r:id="rId26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социального контракта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на какие субсидии может претендовать уже работающий малый и средний бизнес, можно узнать на сайте </w:t>
      </w:r>
      <w:hyperlink r:id="rId27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«Мой бизнес»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сайтах региональных властей.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на федеральном уровне государство предлагает субсидии ИП и </w:t>
      </w:r>
      <w:proofErr w:type="spellStart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юрлицам</w:t>
      </w:r>
      <w:proofErr w:type="spellEnd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занятым в</w:t>
      </w:r>
      <w:hyperlink r:id="rId28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переработке отходов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Сумма зависит от объёма переработанного мусора. Средства на это выделяют из экологического сбора.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Производителям, которые продают свою продукцию за рубеж, </w:t>
      </w:r>
      <w:hyperlink r:id="rId29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могут компенсировать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500 </w:t>
      </w:r>
      <w:proofErr w:type="gramStart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000 ₽ на</w:t>
      </w:r>
      <w:proofErr w:type="gramEnd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экспортом логистические расходы.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власти частично </w:t>
      </w:r>
      <w:hyperlink r:id="rId30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возмещают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расходы на зарплату новых сотрудников, если предприниматель берёт в штат:</w:t>
      </w:r>
    </w:p>
    <w:p w:rsidR="00571FC0" w:rsidRPr="00571FC0" w:rsidRDefault="00571FC0" w:rsidP="00571F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безработных;</w:t>
      </w:r>
    </w:p>
    <w:p w:rsidR="00571FC0" w:rsidRPr="00571FC0" w:rsidRDefault="00571FC0" w:rsidP="00571F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людей, потерявших место или находившихся под риском увольнения;</w:t>
      </w:r>
    </w:p>
    <w:p w:rsidR="00571FC0" w:rsidRPr="00571FC0" w:rsidRDefault="00571FC0" w:rsidP="00571F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молодых людей до 30 лет;</w:t>
      </w:r>
    </w:p>
    <w:p w:rsidR="00571FC0" w:rsidRPr="00571FC0" w:rsidRDefault="00571FC0" w:rsidP="00571F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бывших участников СВО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выплаты за каждого сотрудника соответствует трём МРОТ и в некоторых случаях умножается на районный коэффициент.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71F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Налоговые льготы и поддержка в условиях санкций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налоговым льготам у предпринимателей остаётся больше оборотных средств, которые можно вложить в развитие.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IT-компании за отчётный период 2022–2024 годов полностью </w:t>
      </w:r>
      <w:hyperlink r:id="rId32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освобождены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налога на прибыль. Под льготные условия подпадают компании с </w:t>
      </w:r>
      <w:proofErr w:type="spellStart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госаккредитацией</w:t>
      </w:r>
      <w:proofErr w:type="spellEnd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, у которых деятельность в IT-сфере приносит не менее 70% прибыли.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Значительные льготы действуют для гостиничного и туристического бизнеса. Все действующие гостиницы </w:t>
      </w:r>
      <w:hyperlink r:id="rId33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могут не платить НДС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30 июня 2027 года, а строящиеся — пять лет с начала эксплуатации.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санкциями </w:t>
      </w:r>
      <w:hyperlink r:id="rId34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НДС освободили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ввоз некоторого промышленного оборудования при условии, что аналоги в России не производят.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71F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Льготный лизинг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микро-, малому или среднему бизнесу необходимо дорогостоящее оборудование, компании могут взять его в лизинг по ставкам ниже рыночных — от 6%. Выбор техники и поставщиков не ограничен.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лизинга зависят от того, к какой отрасли относится производство. Заявку можно подать </w:t>
      </w:r>
      <w:hyperlink r:id="rId35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через сайт МСП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71F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Региональные меры поддержки МСП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Узнать, на какую помощь может рассчитывать бизнес и </w:t>
      </w:r>
      <w:proofErr w:type="spellStart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самозанятые</w:t>
      </w:r>
      <w:proofErr w:type="spellEnd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регионах, можно в сервисе </w:t>
      </w:r>
      <w:hyperlink r:id="rId36" w:tgtFrame="_blank" w:history="1">
        <w:r w:rsidRPr="00571F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«Региональные меры поддержки»</w:t>
        </w:r>
      </w:hyperlink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целом регионы предлагают пять видов поддержки:</w:t>
      </w:r>
    </w:p>
    <w:p w:rsidR="00571FC0" w:rsidRPr="00571FC0" w:rsidRDefault="00571FC0" w:rsidP="00571F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консультационная и правовая</w:t>
      </w: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можно узнать, как открыть и вести бизнес, освоить финансовое моделирование и бизнес-планы, наладить закупки и расширить рынок сбыта;</w:t>
      </w:r>
    </w:p>
    <w:p w:rsidR="00571FC0" w:rsidRPr="00571FC0" w:rsidRDefault="00571FC0" w:rsidP="00571F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финансовая</w:t>
      </w: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получить региональные субсидии, гранты и займы, оплату или компенсацию расходов на рекламные услуги, создание сайтов и полиграфических материалов, размещение и продвижение на </w:t>
      </w:r>
      <w:proofErr w:type="spellStart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маркетплейсах</w:t>
      </w:r>
      <w:proofErr w:type="spellEnd"/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участие в выставках и ярмарках;</w:t>
      </w:r>
    </w:p>
    <w:p w:rsidR="00571FC0" w:rsidRPr="00571FC0" w:rsidRDefault="00571FC0" w:rsidP="00571F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инновационная</w:t>
      </w: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власти могут посодействовать в подготовке разрешительной документации, патентовании, исследовательских и опытно-конструкторских работах, производственных изысканиях;</w:t>
      </w:r>
    </w:p>
    <w:p w:rsidR="00571FC0" w:rsidRPr="00571FC0" w:rsidRDefault="00571FC0" w:rsidP="00571F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имущественная</w:t>
      </w: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> ― можно занять помещение на льготных условиях, отсрочить арендную плату;</w:t>
      </w:r>
    </w:p>
    <w:p w:rsidR="00571FC0" w:rsidRPr="00571FC0" w:rsidRDefault="00571FC0" w:rsidP="00571F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</w:t>
      </w:r>
      <w:r w:rsidRPr="0057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― позволяет вовремя узнавать об отмене обязательных требований, проверок, а также попасть в реестр предпринимателей или социальных предпринимателей.</w:t>
      </w:r>
    </w:p>
    <w:p w:rsidR="00571FC0" w:rsidRPr="00571FC0" w:rsidRDefault="00571FC0" w:rsidP="00571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FC0">
        <w:rPr>
          <w:rFonts w:ascii="Times New Roman" w:hAnsi="Times New Roman" w:cs="Times New Roman"/>
          <w:sz w:val="24"/>
          <w:szCs w:val="24"/>
        </w:rPr>
        <w:t>Государственные меры поддержки МСП входят в национальный проект «Малое и среднее предпринимательство» и федеральный проект «Содействие занятости», который является частью нацпроекта «Демография». Первый стартовал в октябре 2018 года, второй в 2019 году. Срок окончания обоих нацпроектов ― декабрь 2024-го, но велика вероятность, что ближе к концу года государство разработает комплекс новых мер.</w:t>
      </w:r>
    </w:p>
    <w:p w:rsidR="009F47C8" w:rsidRDefault="009F47C8">
      <w:bookmarkStart w:id="0" w:name="_GoBack"/>
      <w:bookmarkEnd w:id="0"/>
    </w:p>
    <w:sectPr w:rsidR="009F47C8" w:rsidSect="00F92D3A">
      <w:pgSz w:w="11906" w:h="16838" w:code="9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E27A91"/>
    <w:multiLevelType w:val="multilevel"/>
    <w:tmpl w:val="BFAA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FE546D"/>
    <w:multiLevelType w:val="multilevel"/>
    <w:tmpl w:val="31329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CF50BF"/>
    <w:multiLevelType w:val="multilevel"/>
    <w:tmpl w:val="F918D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C0"/>
    <w:rsid w:val="00571FC0"/>
    <w:rsid w:val="009F47C8"/>
    <w:rsid w:val="00A35EA5"/>
    <w:rsid w:val="00F9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54BAC-1DFB-4096-95BE-4EB26B8B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3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5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7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7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ublication.pravo.gov.ru/Document/View/0001202208170038?index=1" TargetMode="External"/><Relationship Id="rId18" Type="http://schemas.openxmlformats.org/officeDocument/2006/relationships/hyperlink" Target="http://static.government.ru/media/files/s5KRDRCGCRIGjmhiBBfAZW72dBeaNLHY.pdf" TargetMode="External"/><Relationship Id="rId26" Type="http://schemas.openxmlformats.org/officeDocument/2006/relationships/hyperlink" Target="https://base.garant.ru/400167584/" TargetMode="External"/><Relationship Id="rId21" Type="http://schemas.openxmlformats.org/officeDocument/2006/relationships/hyperlink" Target="https://xn--90aifddrld7a.xn--p1ai/anticrisis/granty-dlya-molodykh-predprinimateley" TargetMode="External"/><Relationship Id="rId34" Type="http://schemas.openxmlformats.org/officeDocument/2006/relationships/hyperlink" Target="http://government.ru/sanctions_measures/measure/125/" TargetMode="External"/><Relationship Id="rId7" Type="http://schemas.openxmlformats.org/officeDocument/2006/relationships/hyperlink" Target="https://xn--l1agf.xn--p1ai/services/news/detail/usloviya-po-trem-lgotnym-programmam-kreditovaniya-msp-ostayutsya-neizmennymi-posle-povysheniya-klyuch/" TargetMode="External"/><Relationship Id="rId12" Type="http://schemas.openxmlformats.org/officeDocument/2006/relationships/hyperlink" Target="https://corpmsp.ru/bankam/programma_stimulir/" TargetMode="External"/><Relationship Id="rId17" Type="http://schemas.openxmlformats.org/officeDocument/2006/relationships/hyperlink" Target="http://static.government.ru/media/files/uAAQAhGFekrgX0y1MJTYssky5AONOJof.pdf" TargetMode="External"/><Relationship Id="rId25" Type="http://schemas.openxmlformats.org/officeDocument/2006/relationships/hyperlink" Target="https://xn--l1agf.xn--p1ai/services/competence-credit/promo/" TargetMode="External"/><Relationship Id="rId33" Type="http://schemas.openxmlformats.org/officeDocument/2006/relationships/hyperlink" Target="http://government.ru/sanctions_measures/measure/42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corpmsp.ru/bankam/psk1764/" TargetMode="External"/><Relationship Id="rId20" Type="http://schemas.openxmlformats.org/officeDocument/2006/relationships/hyperlink" Target="https://ofd.nalog.ru/" TargetMode="External"/><Relationship Id="rId29" Type="http://schemas.openxmlformats.org/officeDocument/2006/relationships/hyperlink" Target="https://www.garant.ru/products/ipo/prime/doc/40498140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government.ru/docs/all/120116/" TargetMode="External"/><Relationship Id="rId11" Type="http://schemas.openxmlformats.org/officeDocument/2006/relationships/hyperlink" Target="https://www.mspbank.ru/" TargetMode="External"/><Relationship Id="rId24" Type="http://schemas.openxmlformats.org/officeDocument/2006/relationships/hyperlink" Target="https://xn--l1agf.xn--p1ai/services/antikrizisnye-mery/orel-region-754/" TargetMode="External"/><Relationship Id="rId32" Type="http://schemas.openxmlformats.org/officeDocument/2006/relationships/hyperlink" Target="http://government.ru/sanctions_measures/measure/9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mspbank.ru/soft-loan/" TargetMode="External"/><Relationship Id="rId15" Type="http://schemas.openxmlformats.org/officeDocument/2006/relationships/hyperlink" Target="https://www.mspbank.ru/" TargetMode="External"/><Relationship Id="rId23" Type="http://schemas.openxmlformats.org/officeDocument/2006/relationships/hyperlink" Target="https://xn--90aifddrld7a.xn--p1ai/support/programma-studencheskiy-startap/" TargetMode="External"/><Relationship Id="rId28" Type="http://schemas.openxmlformats.org/officeDocument/2006/relationships/hyperlink" Target="https://xn--90aifddrld7a.xn--p1ai/anticrisis/podderzhka-dlya-kompaniy-vypuskayushchikh-tovary-iz-pererabotannykh-otkhodov" TargetMode="External"/><Relationship Id="rId36" Type="http://schemas.openxmlformats.org/officeDocument/2006/relationships/hyperlink" Target="https://xn--l1agf.xn--p1ai/services/support/?utm_source=banner&amp;utm_medium=msprf&amp;utm_campaign=25_07_2023_banner_reg_mery_karusel" TargetMode="External"/><Relationship Id="rId10" Type="http://schemas.openxmlformats.org/officeDocument/2006/relationships/hyperlink" Target="https://corpmsp.ru/upload/iblock/633/tok1q5zu36av27i82kqsec5as8do5fh3/Programma-stimulirovaniya-kreditovaniya-_red.-28.12.2023_.pdf" TargetMode="External"/><Relationship Id="rId19" Type="http://schemas.openxmlformats.org/officeDocument/2006/relationships/hyperlink" Target="https://www.mos.ru/authority/documents/doc/51681220/" TargetMode="External"/><Relationship Id="rId31" Type="http://schemas.openxmlformats.org/officeDocument/2006/relationships/hyperlink" Target="https://mintrud.gov.ru/hirin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90aifddrld7a.xn--p1ai/banks" TargetMode="External"/><Relationship Id="rId14" Type="http://schemas.openxmlformats.org/officeDocument/2006/relationships/hyperlink" Target="https://xn--l1agf.xn--p1ai/services/news/detail/usloviya-po-trem-lgotnym-programmam-kreditovaniya-msp-ostayutsya-neizmennymi-posle-povysheniya-klyuch/" TargetMode="External"/><Relationship Id="rId22" Type="http://schemas.openxmlformats.org/officeDocument/2006/relationships/hyperlink" Target="https://xn--90aifddrld7a.xn--p1ai/support/programma-razvitie/" TargetMode="External"/><Relationship Id="rId27" Type="http://schemas.openxmlformats.org/officeDocument/2006/relationships/hyperlink" Target="https://xn--90aifddrld7a.xn--p1ai/anticrisis" TargetMode="External"/><Relationship Id="rId30" Type="http://schemas.openxmlformats.org/officeDocument/2006/relationships/hyperlink" Target="https://xn--90aifddrld7a.xn--p1ai/novosti/news/kabmin-prodlil-subsidii-rabotodatelyam-na-2023-god/" TargetMode="External"/><Relationship Id="rId35" Type="http://schemas.openxmlformats.org/officeDocument/2006/relationships/hyperlink" Target="https://corpmsp.ru/" TargetMode="External"/><Relationship Id="rId8" Type="http://schemas.openxmlformats.org/officeDocument/2006/relationships/hyperlink" Target="https://www.mspbank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1890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erokko</dc:creator>
  <cp:keywords/>
  <dc:description/>
  <cp:lastModifiedBy>erokko</cp:lastModifiedBy>
  <cp:revision>2</cp:revision>
  <dcterms:created xsi:type="dcterms:W3CDTF">2024-04-04T11:22:00Z</dcterms:created>
  <dcterms:modified xsi:type="dcterms:W3CDTF">2024-04-04T11:32:00Z</dcterms:modified>
</cp:coreProperties>
</file>